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Lesson name: The Girl who beat all odds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Worksheet 2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I. Choose the correct article ‘a’, ‘an’ or ‘the’ to fill up the blanks.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 Helen was ________ very healthy child when she was born.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a. the     b. an       c. 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With no way to communicate, Helen became ________ unruly child.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a. a      b. the      c. an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Anne Sullivan arrived at ________ Keller’s doorstep.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a. an      b. the       c. 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 Anne held Helen’s hand under ________ water pump and spelt the word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‘water’.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a. the       b. an        c. 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5. By ________ age of ten, Helen learnt Braille.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a. a      b. the      c. an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II. Make sentences using the given nouns and use at least one article in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each sentence(a, an, the)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 Old man--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 Girl-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Drummer--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Naughty boy--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 Parrot—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III. Underline the noun which is pointed out by the definite article ‘’the’’ in each sentence.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The boy next door is a good piano player.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2. He wanted to take the dog out for a walk.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3. She is the prettiest girl in town.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 The Sun rises in the east.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 The Eiffel Tower is one of the seven wonders of the world.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IV. In each of the given sentences, say if the article used is definite (the) or indefinite (a/an)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1. The book you want is out of print.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 A man came running to call me.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3. The cobra is very poisonous.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4. Seema is eating an orange.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5. A cat is sleeping in the lawn.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6. An Englishman wrote that story.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